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29503397"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FA01AB">
        <w:rPr>
          <w:rFonts w:ascii="Arial" w:hAnsi="Arial" w:cs="Arial"/>
          <w:b/>
          <w:bCs/>
          <w:sz w:val="24"/>
        </w:rPr>
        <w:t>6</w:t>
      </w:r>
      <w:r>
        <w:rPr>
          <w:rFonts w:ascii="Arial" w:hAnsi="Arial" w:cs="Arial"/>
          <w:b/>
          <w:bCs/>
          <w:sz w:val="24"/>
        </w:rPr>
        <w:tab/>
      </w:r>
      <w:r w:rsidR="00780225" w:rsidRPr="00780225">
        <w:rPr>
          <w:rFonts w:ascii="Arial" w:hAnsi="Arial" w:cs="Arial"/>
          <w:b/>
          <w:bCs/>
          <w:sz w:val="24"/>
        </w:rPr>
        <w:t>RP-</w:t>
      </w:r>
      <w:r w:rsidR="00B819EB" w:rsidRPr="00B819EB">
        <w:rPr>
          <w:rFonts w:ascii="Arial" w:hAnsi="Arial" w:cs="Arial"/>
          <w:b/>
          <w:bCs/>
          <w:sz w:val="24"/>
        </w:rPr>
        <w:t>221561</w:t>
      </w:r>
    </w:p>
    <w:p w14:paraId="3B05FB02" w14:textId="30FB20FB" w:rsidR="00A13D62" w:rsidRDefault="00667DA7" w:rsidP="00A13D62">
      <w:pPr>
        <w:keepNext/>
        <w:pBdr>
          <w:bottom w:val="single" w:sz="6" w:space="0" w:color="auto"/>
        </w:pBdr>
        <w:tabs>
          <w:tab w:val="right" w:pos="9638"/>
        </w:tabs>
        <w:rPr>
          <w:rFonts w:ascii="Arial" w:hAnsi="Arial" w:cs="Arial"/>
          <w:b/>
          <w:bCs/>
          <w:sz w:val="24"/>
          <w:szCs w:val="24"/>
        </w:rPr>
      </w:pPr>
      <w:r w:rsidRPr="00667DA7">
        <w:rPr>
          <w:rFonts w:ascii="Arial" w:hAnsi="Arial" w:cs="Arial"/>
          <w:b/>
          <w:bCs/>
          <w:sz w:val="24"/>
          <w:szCs w:val="24"/>
        </w:rPr>
        <w:t>Budapest, Hungary</w:t>
      </w:r>
      <w:r w:rsidR="00E64BB5" w:rsidRPr="00E64BB5">
        <w:rPr>
          <w:rFonts w:ascii="Arial" w:hAnsi="Arial" w:cs="Arial"/>
          <w:b/>
          <w:bCs/>
          <w:sz w:val="24"/>
          <w:szCs w:val="24"/>
        </w:rPr>
        <w:t xml:space="preserve">, </w:t>
      </w:r>
      <w:r w:rsidR="00FA01AB">
        <w:rPr>
          <w:rFonts w:ascii="Arial" w:hAnsi="Arial" w:cs="Arial"/>
          <w:b/>
          <w:bCs/>
          <w:sz w:val="24"/>
          <w:szCs w:val="24"/>
        </w:rPr>
        <w:t>June</w:t>
      </w:r>
      <w:r w:rsidR="00A15E4A">
        <w:rPr>
          <w:rFonts w:ascii="Arial" w:hAnsi="Arial" w:cs="Arial"/>
          <w:b/>
          <w:bCs/>
          <w:sz w:val="24"/>
          <w:szCs w:val="24"/>
        </w:rPr>
        <w:t xml:space="preserve"> </w:t>
      </w:r>
      <w:r>
        <w:rPr>
          <w:rFonts w:ascii="Arial" w:hAnsi="Arial" w:cs="Arial"/>
          <w:b/>
          <w:bCs/>
          <w:sz w:val="24"/>
          <w:szCs w:val="24"/>
        </w:rPr>
        <w:t>6</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00E64BB5" w:rsidRPr="00E64BB5">
        <w:rPr>
          <w:rFonts w:ascii="Arial" w:hAnsi="Arial" w:cs="Arial"/>
          <w:b/>
          <w:bCs/>
          <w:sz w:val="24"/>
          <w:szCs w:val="24"/>
        </w:rPr>
        <w:t xml:space="preserve"> </w:t>
      </w:r>
      <w:r>
        <w:rPr>
          <w:rFonts w:ascii="Arial" w:hAnsi="Arial" w:cs="Arial"/>
          <w:b/>
          <w:bCs/>
          <w:sz w:val="24"/>
          <w:szCs w:val="24"/>
        </w:rPr>
        <w:t>9</w:t>
      </w:r>
      <w:r w:rsidRPr="00667DA7">
        <w:rPr>
          <w:rFonts w:ascii="Arial" w:hAnsi="Arial" w:cs="Arial"/>
          <w:b/>
          <w:bCs/>
          <w:sz w:val="24"/>
          <w:szCs w:val="24"/>
          <w:vertAlign w:val="superscript"/>
        </w:rPr>
        <w:t>th</w:t>
      </w:r>
      <w:r w:rsidR="00A15E4A">
        <w:rPr>
          <w:rFonts w:ascii="Arial" w:hAnsi="Arial" w:cs="Arial"/>
          <w:b/>
          <w:bCs/>
          <w:sz w:val="24"/>
          <w:szCs w:val="24"/>
        </w:rPr>
        <w:t>, 202</w:t>
      </w:r>
      <w:r w:rsidR="002E7BC9">
        <w:rPr>
          <w:rFonts w:ascii="Arial" w:hAnsi="Arial" w:cs="Arial"/>
          <w:b/>
          <w:bCs/>
          <w:sz w:val="24"/>
          <w:szCs w:val="24"/>
        </w:rPr>
        <w:t>2</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0BFFB586"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10578F" w:rsidRPr="0010578F">
        <w:rPr>
          <w:rFonts w:ascii="Arial" w:hAnsi="Arial" w:cs="Arial"/>
          <w:b/>
          <w:bCs/>
          <w:color w:val="120100"/>
          <w:szCs w:val="18"/>
          <w:lang w:val="en-US"/>
        </w:rPr>
        <w:t>On RAN1/RAN4 work split for the study on evolution of NR duplex</w:t>
      </w:r>
    </w:p>
    <w:p w14:paraId="519BE4DC" w14:textId="0F92552D"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701704" w:rsidRPr="00701704">
        <w:rPr>
          <w:rFonts w:ascii="Arial" w:hAnsi="Arial" w:cs="Arial"/>
          <w:b/>
          <w:bCs/>
          <w:szCs w:val="18"/>
          <w:lang w:val="en-US"/>
        </w:rPr>
        <w:t>9.</w:t>
      </w:r>
      <w:r w:rsidR="00F12191">
        <w:rPr>
          <w:rFonts w:ascii="Arial" w:hAnsi="Arial" w:cs="Arial"/>
          <w:b/>
          <w:bCs/>
          <w:szCs w:val="18"/>
          <w:lang w:val="en-US"/>
        </w:rPr>
        <w:t>2.6</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130C1F24" w14:textId="1C7F52E5" w:rsidR="008F2EE7" w:rsidRPr="000460EA" w:rsidRDefault="008F2EE7" w:rsidP="00982ACE">
      <w:pPr>
        <w:spacing w:after="120"/>
        <w:jc w:val="both"/>
        <w:textAlignment w:val="center"/>
        <w:rPr>
          <w:rFonts w:eastAsia="SimSun"/>
          <w:color w:val="000000" w:themeColor="text1"/>
          <w:lang w:val="en-US" w:eastAsia="zh-CN"/>
        </w:rPr>
      </w:pPr>
      <w:r>
        <w:rPr>
          <w:rFonts w:eastAsia="SimSun"/>
          <w:lang w:val="en-US" w:eastAsia="zh-CN"/>
        </w:rPr>
        <w:t>A s</w:t>
      </w:r>
      <w:r w:rsidRPr="00DD5E49">
        <w:rPr>
          <w:rFonts w:eastAsia="SimSun"/>
          <w:lang w:val="en-US" w:eastAsia="zh-CN"/>
        </w:rPr>
        <w:t>tudy</w:t>
      </w:r>
      <w:r>
        <w:rPr>
          <w:rFonts w:eastAsia="SimSun"/>
          <w:lang w:val="en-US" w:eastAsia="zh-CN"/>
        </w:rPr>
        <w:t xml:space="preserve"> item </w:t>
      </w:r>
      <w:r w:rsidRPr="00DD5E49">
        <w:rPr>
          <w:rFonts w:eastAsia="SimSun"/>
          <w:lang w:val="en-US" w:eastAsia="zh-CN"/>
        </w:rPr>
        <w:t xml:space="preserve">on evolution of NR duplex operation </w:t>
      </w:r>
      <w:r>
        <w:rPr>
          <w:rFonts w:eastAsia="SimSun"/>
          <w:lang w:val="en-US" w:eastAsia="zh-CN"/>
        </w:rPr>
        <w:t xml:space="preserve">was approved in </w:t>
      </w:r>
      <w:r w:rsidRPr="00F351D4">
        <w:rPr>
          <w:rFonts w:eastAsia="SimSun"/>
          <w:lang w:val="en-US" w:eastAsia="zh-CN"/>
        </w:rPr>
        <w:t>RAN#</w:t>
      </w:r>
      <w:r>
        <w:rPr>
          <w:rFonts w:eastAsia="SimSun"/>
          <w:color w:val="000000" w:themeColor="text1"/>
          <w:lang w:val="en-US" w:eastAsia="zh-CN"/>
        </w:rPr>
        <w:t>94</w:t>
      </w:r>
      <w:r w:rsidRPr="004C65C9">
        <w:rPr>
          <w:rFonts w:eastAsia="SimSun"/>
          <w:color w:val="000000" w:themeColor="text1"/>
          <w:lang w:val="en-US" w:eastAsia="zh-CN"/>
        </w:rPr>
        <w:t>e</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_Ref47545028 \r \h </w:instrText>
      </w:r>
      <w:r>
        <w:rPr>
          <w:rFonts w:eastAsia="SimSun"/>
          <w:lang w:val="en-US" w:eastAsia="zh-CN"/>
        </w:rPr>
      </w:r>
      <w:r>
        <w:rPr>
          <w:rFonts w:eastAsia="SimSun"/>
          <w:lang w:val="en-US" w:eastAsia="zh-CN"/>
        </w:rPr>
        <w:fldChar w:fldCharType="separate"/>
      </w:r>
      <w:r>
        <w:rPr>
          <w:rFonts w:eastAsia="SimSun"/>
          <w:cs/>
          <w:lang w:val="en-US" w:eastAsia="zh-CN"/>
        </w:rPr>
        <w:t>‎</w:t>
      </w:r>
      <w:r>
        <w:rPr>
          <w:rFonts w:eastAsia="SimSun"/>
          <w:lang w:val="en-US" w:eastAsia="zh-CN"/>
        </w:rPr>
        <w:t>[1]</w:t>
      </w:r>
      <w:r>
        <w:rPr>
          <w:rFonts w:eastAsia="SimSun"/>
          <w:lang w:val="en-US" w:eastAsia="zh-CN"/>
        </w:rPr>
        <w:fldChar w:fldCharType="end"/>
      </w:r>
      <w:r w:rsidR="00982ACE">
        <w:rPr>
          <w:rFonts w:eastAsia="SimSun"/>
          <w:lang w:val="en-US" w:eastAsia="zh-CN"/>
        </w:rPr>
        <w:t xml:space="preserve">. </w:t>
      </w:r>
      <w:r w:rsidRPr="000460EA">
        <w:rPr>
          <w:rFonts w:eastAsia="SimSun"/>
          <w:color w:val="000000" w:themeColor="text1"/>
          <w:lang w:val="en-US" w:eastAsia="zh-CN"/>
        </w:rPr>
        <w:t xml:space="preserve">In this contribution, we discuss </w:t>
      </w:r>
      <w:r>
        <w:rPr>
          <w:rFonts w:eastAsia="SimSun"/>
          <w:color w:val="000000" w:themeColor="text1"/>
          <w:lang w:val="en-US" w:eastAsia="zh-CN"/>
        </w:rPr>
        <w:t>the work split between RAN1 and RAN4 for this SI.</w:t>
      </w:r>
    </w:p>
    <w:p w14:paraId="2FD872D6" w14:textId="078BFCF0" w:rsidR="00D83328" w:rsidRDefault="0065544C" w:rsidP="00FD373D">
      <w:pPr>
        <w:pStyle w:val="Heading1"/>
        <w:rPr>
          <w:lang w:eastAsia="ko-KR"/>
        </w:rPr>
      </w:pPr>
      <w:r w:rsidRPr="0065544C">
        <w:rPr>
          <w:lang w:eastAsia="ko-KR"/>
        </w:rPr>
        <w:t>Discussion</w:t>
      </w:r>
    </w:p>
    <w:p w14:paraId="4045DD1D" w14:textId="59C6A9A5" w:rsidR="008F2EE7" w:rsidRDefault="00EE49D1" w:rsidP="008F2EE7">
      <w:pPr>
        <w:rPr>
          <w:lang w:eastAsia="zh-TW"/>
        </w:rPr>
      </w:pPr>
      <w:r>
        <w:rPr>
          <w:lang w:eastAsia="zh-TW"/>
        </w:rPr>
        <w:t>As highlighted in the objectives below from the SID, there seems an overlap in the scope for RAN1 and RAN4 evaluations.</w:t>
      </w:r>
    </w:p>
    <w:tbl>
      <w:tblPr>
        <w:tblStyle w:val="TableGrid"/>
        <w:tblW w:w="0" w:type="auto"/>
        <w:tblLook w:val="04A0" w:firstRow="1" w:lastRow="0" w:firstColumn="1" w:lastColumn="0" w:noHBand="0" w:noVBand="1"/>
      </w:tblPr>
      <w:tblGrid>
        <w:gridCol w:w="9631"/>
      </w:tblGrid>
      <w:tr w:rsidR="008F2EE7" w14:paraId="36FFAF0A" w14:textId="77777777" w:rsidTr="00A14627">
        <w:tc>
          <w:tcPr>
            <w:tcW w:w="9631" w:type="dxa"/>
          </w:tcPr>
          <w:p w14:paraId="0DDF06E9" w14:textId="52483280" w:rsidR="008F2EE7" w:rsidRPr="008F2EE7" w:rsidRDefault="008F2EE7" w:rsidP="008F2EE7">
            <w:pPr>
              <w:numPr>
                <w:ilvl w:val="1"/>
                <w:numId w:val="21"/>
              </w:numPr>
              <w:overflowPunct w:val="0"/>
              <w:autoSpaceDE w:val="0"/>
              <w:autoSpaceDN w:val="0"/>
              <w:spacing w:after="60"/>
              <w:rPr>
                <w:lang w:val="en-US"/>
              </w:rPr>
            </w:pPr>
            <w:r w:rsidRPr="008F2EE7">
              <w:rPr>
                <w:highlight w:val="yellow"/>
                <w:lang w:val="en-US"/>
              </w:rPr>
              <w:t>Study the performance</w:t>
            </w:r>
            <w:r w:rsidRPr="00DD5E49">
              <w:rPr>
                <w:lang w:val="en-US"/>
              </w:rPr>
              <w:t xml:space="preserve"> of the identified schemes as well as the </w:t>
            </w:r>
            <w:r w:rsidRPr="008F2EE7">
              <w:rPr>
                <w:highlight w:val="yellow"/>
                <w:lang w:val="en-US"/>
              </w:rPr>
              <w:t xml:space="preserve">impact on </w:t>
            </w:r>
            <w:r w:rsidRPr="00054F61">
              <w:rPr>
                <w:highlight w:val="yellow"/>
                <w:lang w:val="en-US"/>
              </w:rPr>
              <w:t>legacy operation assuming their co-existence in</w:t>
            </w:r>
            <w:r w:rsidRPr="00DD5E49">
              <w:rPr>
                <w:lang w:val="en-US"/>
              </w:rPr>
              <w:t xml:space="preserve"> </w:t>
            </w:r>
            <w:r w:rsidRPr="00054F61">
              <w:rPr>
                <w:highlight w:val="cyan"/>
                <w:lang w:val="en-US"/>
              </w:rPr>
              <w:t>co-channel</w:t>
            </w:r>
            <w:r w:rsidRPr="00DD5E49">
              <w:rPr>
                <w:lang w:val="en-US"/>
              </w:rPr>
              <w:t xml:space="preserve"> and </w:t>
            </w:r>
            <w:r w:rsidRPr="00054F61">
              <w:rPr>
                <w:highlight w:val="yellow"/>
                <w:lang w:val="en-US"/>
              </w:rPr>
              <w:t>adjacent channels (RAN1)</w:t>
            </w:r>
            <w:r w:rsidRPr="00DD5E49">
              <w:rPr>
                <w:lang w:val="en-US"/>
              </w:rPr>
              <w:t>.</w:t>
            </w:r>
          </w:p>
          <w:p w14:paraId="53408530" w14:textId="4FD3DD56" w:rsidR="008F2EE7" w:rsidRPr="00DD5E49" w:rsidRDefault="008F2EE7" w:rsidP="008F2EE7">
            <w:pPr>
              <w:numPr>
                <w:ilvl w:val="1"/>
                <w:numId w:val="21"/>
              </w:numPr>
              <w:overflowPunct w:val="0"/>
              <w:autoSpaceDE w:val="0"/>
              <w:autoSpaceDN w:val="0"/>
              <w:spacing w:after="60"/>
              <w:rPr>
                <w:lang w:val="en-US"/>
              </w:rPr>
            </w:pPr>
            <w:r w:rsidRPr="00054F61">
              <w:rPr>
                <w:highlight w:val="yellow"/>
                <w:lang w:val="en-US"/>
              </w:rPr>
              <w:t>Study the feasibility</w:t>
            </w:r>
            <w:r w:rsidRPr="00DD5E49">
              <w:rPr>
                <w:lang w:val="en-US"/>
              </w:rPr>
              <w:t xml:space="preserve"> of and impact on RF requirements </w:t>
            </w:r>
            <w:r w:rsidRPr="00054F61">
              <w:rPr>
                <w:highlight w:val="yellow"/>
                <w:lang w:val="en-US"/>
              </w:rPr>
              <w:t>considering adjacent-channel co-existence with the legacy operation (RAN4)</w:t>
            </w:r>
            <w:r w:rsidRPr="00DD5E49">
              <w:rPr>
                <w:lang w:val="en-US"/>
              </w:rPr>
              <w:t>.</w:t>
            </w:r>
          </w:p>
          <w:p w14:paraId="6D42729A" w14:textId="77777777" w:rsidR="008F2EE7" w:rsidRPr="00510004" w:rsidRDefault="008F2EE7" w:rsidP="008F2EE7">
            <w:pPr>
              <w:numPr>
                <w:ilvl w:val="1"/>
                <w:numId w:val="21"/>
              </w:numPr>
              <w:overflowPunct w:val="0"/>
              <w:autoSpaceDE w:val="0"/>
              <w:autoSpaceDN w:val="0"/>
              <w:spacing w:after="60"/>
              <w:rPr>
                <w:lang w:eastAsia="zh-TW"/>
              </w:rPr>
            </w:pPr>
            <w:r w:rsidRPr="00054F61">
              <w:rPr>
                <w:highlight w:val="cyan"/>
                <w:lang w:val="en-US"/>
              </w:rPr>
              <w:t>Study the feasibility</w:t>
            </w:r>
            <w:r w:rsidRPr="00DD5E49">
              <w:rPr>
                <w:lang w:val="en-US"/>
              </w:rPr>
              <w:t xml:space="preserve"> of and impact on RF requirements considering the self-interference, </w:t>
            </w:r>
            <w:r w:rsidRPr="00054F61">
              <w:rPr>
                <w:highlight w:val="cyan"/>
                <w:lang w:val="en-US"/>
              </w:rPr>
              <w:t>the inter-subband CLI</w:t>
            </w:r>
            <w:r w:rsidRPr="00DD5E49">
              <w:rPr>
                <w:lang w:val="en-US"/>
              </w:rPr>
              <w:t>, and the inter-operator CLI at gNB and the inter-subband CLI and inter-operator CLI at UE (</w:t>
            </w:r>
            <w:r w:rsidRPr="00054F61">
              <w:rPr>
                <w:highlight w:val="cyan"/>
                <w:lang w:val="en-US"/>
              </w:rPr>
              <w:t>RAN4</w:t>
            </w:r>
            <w:r w:rsidRPr="00DD5E49">
              <w:rPr>
                <w:lang w:val="en-US"/>
              </w:rPr>
              <w:t>).</w:t>
            </w:r>
          </w:p>
          <w:p w14:paraId="29337AED" w14:textId="77777777" w:rsidR="008F2EE7" w:rsidRDefault="008F2EE7" w:rsidP="008F2EE7">
            <w:pPr>
              <w:numPr>
                <w:ilvl w:val="1"/>
                <w:numId w:val="21"/>
              </w:numPr>
              <w:overflowPunct w:val="0"/>
              <w:autoSpaceDE w:val="0"/>
              <w:autoSpaceDN w:val="0"/>
              <w:spacing w:after="60"/>
              <w:rPr>
                <w:lang w:eastAsia="zh-TW"/>
              </w:rPr>
            </w:pPr>
            <w:r w:rsidRPr="00DD5E49">
              <w:rPr>
                <w:lang w:val="en-U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tc>
      </w:tr>
    </w:tbl>
    <w:p w14:paraId="5FEF37E0" w14:textId="0806A7E7" w:rsidR="00054F61" w:rsidRDefault="00054F61" w:rsidP="008F2EE7">
      <w:pPr>
        <w:spacing w:before="120" w:after="120"/>
        <w:jc w:val="both"/>
        <w:rPr>
          <w:lang w:eastAsia="zh-TW"/>
        </w:rPr>
      </w:pPr>
    </w:p>
    <w:p w14:paraId="09EADD6A" w14:textId="222E133C" w:rsidR="008F2EE7" w:rsidRDefault="00DA3FEA" w:rsidP="008F2EE7">
      <w:pPr>
        <w:spacing w:before="120" w:after="120"/>
        <w:jc w:val="both"/>
        <w:rPr>
          <w:lang w:eastAsia="zh-TW"/>
        </w:rPr>
      </w:pPr>
      <w:r>
        <w:rPr>
          <w:lang w:eastAsia="zh-TW"/>
        </w:rPr>
        <w:t xml:space="preserve">In RAN1#109e, there were different views </w:t>
      </w:r>
      <w:r w:rsidR="00BF5611">
        <w:rPr>
          <w:lang w:eastAsia="zh-TW"/>
        </w:rPr>
        <w:t>among the companies on whether RAN1 should conduct SLS evaluati</w:t>
      </w:r>
      <w:r w:rsidR="00EE49D1">
        <w:rPr>
          <w:lang w:eastAsia="zh-TW"/>
        </w:rPr>
        <w:t>on</w:t>
      </w:r>
      <w:r w:rsidR="00BF5611">
        <w:rPr>
          <w:lang w:eastAsia="zh-TW"/>
        </w:rPr>
        <w:t xml:space="preserve"> for the scenario</w:t>
      </w:r>
      <w:r w:rsidR="006961FD">
        <w:rPr>
          <w:lang w:eastAsia="zh-TW"/>
        </w:rPr>
        <w:t>s</w:t>
      </w:r>
      <w:r w:rsidR="00BF5611">
        <w:rPr>
          <w:lang w:eastAsia="zh-TW"/>
        </w:rPr>
        <w:t xml:space="preserve"> of </w:t>
      </w:r>
      <w:r w:rsidR="006961FD">
        <w:rPr>
          <w:lang w:eastAsia="zh-TW"/>
        </w:rPr>
        <w:t>“</w:t>
      </w:r>
      <w:r w:rsidR="006961FD" w:rsidRPr="00982ACE">
        <w:rPr>
          <w:lang w:eastAsia="zh-TW"/>
        </w:rPr>
        <w:t>co-channel</w:t>
      </w:r>
      <w:r w:rsidR="006961FD">
        <w:rPr>
          <w:lang w:eastAsia="zh-TW"/>
        </w:rPr>
        <w:t xml:space="preserve">” and </w:t>
      </w:r>
      <w:r w:rsidR="00BF5611">
        <w:rPr>
          <w:lang w:eastAsia="zh-TW"/>
        </w:rPr>
        <w:t>“</w:t>
      </w:r>
      <w:r w:rsidR="00BF5611" w:rsidRPr="00BF5611">
        <w:rPr>
          <w:lang w:eastAsia="zh-TW"/>
        </w:rPr>
        <w:t>adjacent-channel</w:t>
      </w:r>
      <w:r w:rsidR="006961FD">
        <w:rPr>
          <w:lang w:eastAsia="zh-TW"/>
        </w:rPr>
        <w:t>”</w:t>
      </w:r>
      <w:r w:rsidR="00BF5611" w:rsidRPr="00BF5611">
        <w:rPr>
          <w:lang w:eastAsia="zh-TW"/>
        </w:rPr>
        <w:t xml:space="preserve"> co-existence with the legacy operation</w:t>
      </w:r>
      <w:r w:rsidR="00BF5611">
        <w:rPr>
          <w:lang w:eastAsia="zh-TW"/>
        </w:rPr>
        <w:t xml:space="preserve">. Some companies assumed that the SLS </w:t>
      </w:r>
      <w:r w:rsidR="00621899">
        <w:rPr>
          <w:lang w:eastAsia="zh-TW"/>
        </w:rPr>
        <w:t>evaluation</w:t>
      </w:r>
      <w:r w:rsidR="00BF5611">
        <w:rPr>
          <w:lang w:eastAsia="zh-TW"/>
        </w:rPr>
        <w:t xml:space="preserve"> will be conducted in RAN4</w:t>
      </w:r>
      <w:r w:rsidR="00621899">
        <w:rPr>
          <w:lang w:eastAsia="zh-TW"/>
        </w:rPr>
        <w:t>, and RAN1 shouldn’t duplicate such efforts.</w:t>
      </w:r>
    </w:p>
    <w:p w14:paraId="0808B19C" w14:textId="6DF4828D" w:rsidR="00982ACE" w:rsidRDefault="00982ACE" w:rsidP="008F2EE7">
      <w:pPr>
        <w:spacing w:before="120" w:after="120"/>
        <w:jc w:val="both"/>
        <w:rPr>
          <w:lang w:eastAsia="zh-TW"/>
        </w:rPr>
      </w:pPr>
      <w:r>
        <w:rPr>
          <w:lang w:eastAsia="zh-TW"/>
        </w:rPr>
        <w:t xml:space="preserve">For SBFD, RAN1 has agreed to evaluate the </w:t>
      </w:r>
      <w:r w:rsidRPr="00982ACE">
        <w:rPr>
          <w:lang w:eastAsia="zh-TW"/>
        </w:rPr>
        <w:t>co-existence</w:t>
      </w:r>
      <w:r>
        <w:rPr>
          <w:lang w:eastAsia="zh-TW"/>
        </w:rPr>
        <w:t xml:space="preserve"> cases</w:t>
      </w:r>
      <w:r w:rsidRPr="00982ACE">
        <w:rPr>
          <w:lang w:eastAsia="zh-TW"/>
        </w:rPr>
        <w:t xml:space="preserve"> </w:t>
      </w:r>
      <w:r>
        <w:rPr>
          <w:lang w:eastAsia="zh-TW"/>
        </w:rPr>
        <w:t>(</w:t>
      </w:r>
      <w:r w:rsidRPr="00982ACE">
        <w:rPr>
          <w:lang w:eastAsia="zh-TW"/>
        </w:rPr>
        <w:t>co-channel and adjacent channels</w:t>
      </w:r>
      <w:r>
        <w:rPr>
          <w:lang w:eastAsia="zh-TW"/>
        </w:rPr>
        <w:t>)</w:t>
      </w:r>
      <w:r w:rsidR="003F024E">
        <w:rPr>
          <w:lang w:eastAsia="zh-TW"/>
        </w:rPr>
        <w:t xml:space="preserve"> as highlighted in the agreement below. However, due to the different understanding on the work split between RAN and RAN4, there was no consensus on the cases for dynamic TDD evaluations.</w:t>
      </w:r>
    </w:p>
    <w:tbl>
      <w:tblPr>
        <w:tblStyle w:val="TableGrid"/>
        <w:tblW w:w="0" w:type="auto"/>
        <w:tblLook w:val="04A0" w:firstRow="1" w:lastRow="0" w:firstColumn="1" w:lastColumn="0" w:noHBand="0" w:noVBand="1"/>
      </w:tblPr>
      <w:tblGrid>
        <w:gridCol w:w="9631"/>
      </w:tblGrid>
      <w:tr w:rsidR="003F024E" w14:paraId="61E35408" w14:textId="77777777" w:rsidTr="003F024E">
        <w:tc>
          <w:tcPr>
            <w:tcW w:w="9631" w:type="dxa"/>
          </w:tcPr>
          <w:p w14:paraId="691BB336" w14:textId="77777777" w:rsidR="003F024E" w:rsidRPr="00693166" w:rsidRDefault="003F024E" w:rsidP="00EE49D1">
            <w:pPr>
              <w:spacing w:after="0"/>
              <w:rPr>
                <w:b/>
                <w:highlight w:val="green"/>
                <w:lang w:eastAsia="ko-KR"/>
              </w:rPr>
            </w:pPr>
            <w:r w:rsidRPr="00693166">
              <w:rPr>
                <w:b/>
                <w:highlight w:val="green"/>
                <w:lang w:eastAsia="ko-KR"/>
              </w:rPr>
              <w:t>Agreement</w:t>
            </w:r>
          </w:p>
          <w:p w14:paraId="66B70591" w14:textId="77777777" w:rsidR="003F024E" w:rsidRDefault="003F024E" w:rsidP="00EE49D1">
            <w:pPr>
              <w:spacing w:after="0"/>
              <w:rPr>
                <w:bCs/>
                <w:iCs/>
              </w:rPr>
            </w:pPr>
            <w:r>
              <w:rPr>
                <w:rFonts w:hint="eastAsia"/>
                <w:bCs/>
                <w:iCs/>
              </w:rPr>
              <w:t>F</w:t>
            </w:r>
            <w:r>
              <w:rPr>
                <w:bCs/>
                <w:iCs/>
              </w:rPr>
              <w:t>or discussion purpose for evaluation, define the following deployment cases for SBFD:</w:t>
            </w:r>
          </w:p>
          <w:p w14:paraId="165D7B8C" w14:textId="77777777" w:rsidR="003F024E" w:rsidRDefault="003F024E" w:rsidP="003F024E">
            <w:pPr>
              <w:pStyle w:val="ListParagraph"/>
              <w:numPr>
                <w:ilvl w:val="0"/>
                <w:numId w:val="22"/>
              </w:numPr>
              <w:spacing w:after="0"/>
              <w:ind w:hanging="357"/>
              <w:rPr>
                <w:bCs/>
                <w:iCs/>
              </w:rPr>
            </w:pPr>
            <w:r>
              <w:rPr>
                <w:bCs/>
                <w:iCs/>
              </w:rPr>
              <w:t>Deployment Case 1 (Non-coexistence case with single SBFD subband configuration): One single operator using one single carrier is considered. All the cells belonging to the operator use SBFD operation with the same SBFD subband configuration.</w:t>
            </w:r>
          </w:p>
          <w:p w14:paraId="1B59649B" w14:textId="77777777" w:rsidR="003F024E" w:rsidRDefault="003F024E" w:rsidP="003F024E">
            <w:pPr>
              <w:pStyle w:val="ListParagraph"/>
              <w:numPr>
                <w:ilvl w:val="0"/>
                <w:numId w:val="22"/>
              </w:numPr>
              <w:spacing w:after="0"/>
              <w:rPr>
                <w:bCs/>
                <w:iCs/>
              </w:rPr>
            </w:pPr>
            <w:r>
              <w:rPr>
                <w:bCs/>
                <w:iCs/>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4F75515E" w14:textId="77777777" w:rsidR="003F024E" w:rsidRDefault="003F024E" w:rsidP="003F024E">
            <w:pPr>
              <w:pStyle w:val="ListParagraph"/>
              <w:numPr>
                <w:ilvl w:val="0"/>
                <w:numId w:val="22"/>
              </w:numPr>
              <w:spacing w:after="0"/>
              <w:rPr>
                <w:bCs/>
                <w:iCs/>
              </w:rPr>
            </w:pPr>
            <w:r w:rsidRPr="003F024E">
              <w:rPr>
                <w:bCs/>
                <w:iCs/>
                <w:highlight w:val="cyan"/>
              </w:rPr>
              <w:t>Deployment Case 3 (</w:t>
            </w:r>
            <w:r w:rsidRPr="003F024E">
              <w:rPr>
                <w:rFonts w:hint="eastAsia"/>
                <w:bCs/>
                <w:iCs/>
                <w:highlight w:val="cyan"/>
              </w:rPr>
              <w:t>C</w:t>
            </w:r>
            <w:r w:rsidRPr="003F024E">
              <w:rPr>
                <w:bCs/>
                <w:iCs/>
                <w:highlight w:val="cyan"/>
              </w:rPr>
              <w:t>o-channel co-existence case):</w:t>
            </w:r>
            <w:r>
              <w:rPr>
                <w:bCs/>
                <w:iCs/>
              </w:rPr>
              <w:t xml:space="preserve"> One single operator using one single carrier is considered. Among the cells belonging to the operator, some of them use legacy TDD operation (static TDD operation) while the others use SBFD operation with the same SBFD subband configuration.</w:t>
            </w:r>
          </w:p>
          <w:p w14:paraId="62BF72CA" w14:textId="77777777" w:rsidR="003F024E" w:rsidRDefault="003F024E" w:rsidP="003F024E">
            <w:pPr>
              <w:pStyle w:val="ListParagraph"/>
              <w:numPr>
                <w:ilvl w:val="1"/>
                <w:numId w:val="22"/>
              </w:numPr>
              <w:spacing w:after="0"/>
              <w:rPr>
                <w:bCs/>
                <w:iCs/>
              </w:rPr>
            </w:pPr>
            <w:r>
              <w:rPr>
                <w:bCs/>
                <w:iCs/>
              </w:rPr>
              <w:t xml:space="preserve">Deployment Case 3-1: Only 1-layer is considered </w:t>
            </w:r>
          </w:p>
          <w:p w14:paraId="65A3A1F2" w14:textId="77777777" w:rsidR="003F024E" w:rsidRDefault="003F024E" w:rsidP="003F024E">
            <w:pPr>
              <w:pStyle w:val="ListParagraph"/>
              <w:numPr>
                <w:ilvl w:val="1"/>
                <w:numId w:val="22"/>
              </w:numPr>
              <w:spacing w:after="0"/>
              <w:rPr>
                <w:bCs/>
                <w:iCs/>
              </w:rPr>
            </w:pPr>
            <w:r>
              <w:rPr>
                <w:bCs/>
                <w:iCs/>
              </w:rPr>
              <w:t>Deployment Case 3-2: 2-layer is considered</w:t>
            </w:r>
          </w:p>
          <w:p w14:paraId="6308C10F" w14:textId="175F680E" w:rsidR="003F024E" w:rsidRPr="002F722F" w:rsidRDefault="003F024E" w:rsidP="002F722F">
            <w:pPr>
              <w:pStyle w:val="ListParagraph"/>
              <w:numPr>
                <w:ilvl w:val="0"/>
                <w:numId w:val="22"/>
              </w:numPr>
              <w:spacing w:after="0"/>
              <w:rPr>
                <w:bCs/>
                <w:iCs/>
              </w:rPr>
            </w:pPr>
            <w:r w:rsidRPr="003F024E">
              <w:rPr>
                <w:bCs/>
                <w:iCs/>
                <w:highlight w:val="cyan"/>
              </w:rPr>
              <w:t>Deployment Case 4 (</w:t>
            </w:r>
            <w:r w:rsidRPr="003F024E">
              <w:rPr>
                <w:rFonts w:hint="eastAsia"/>
                <w:bCs/>
                <w:iCs/>
                <w:highlight w:val="cyan"/>
              </w:rPr>
              <w:t>A</w:t>
            </w:r>
            <w:r w:rsidRPr="003F024E">
              <w:rPr>
                <w:bCs/>
                <w:iCs/>
                <w:highlight w:val="cyan"/>
              </w:rPr>
              <w:t>djacent-channel co-existence case):</w:t>
            </w:r>
            <w:r>
              <w:rPr>
                <w:bCs/>
                <w:iCs/>
              </w:rPr>
              <w:t xml:space="preserve"> Two operators each using one carrier are considered and the two carriers are adjacent carriers. One operator uses legacy TDD operation (static TDD operation) while the other operator uses SBFD operation with the same SBFD subband configuration.</w:t>
            </w:r>
          </w:p>
        </w:tc>
      </w:tr>
    </w:tbl>
    <w:p w14:paraId="6841FFA8" w14:textId="32F2DBA5" w:rsidR="003F024E" w:rsidRDefault="003F024E" w:rsidP="008F2EE7">
      <w:pPr>
        <w:spacing w:before="120" w:after="120"/>
        <w:jc w:val="both"/>
        <w:rPr>
          <w:lang w:eastAsia="zh-TW"/>
        </w:rPr>
      </w:pPr>
    </w:p>
    <w:p w14:paraId="29E109A5" w14:textId="2224D5A7" w:rsidR="005A411E" w:rsidRDefault="006961FD" w:rsidP="008F2EE7">
      <w:pPr>
        <w:spacing w:before="120" w:after="120"/>
        <w:jc w:val="both"/>
        <w:rPr>
          <w:lang w:eastAsia="zh-TW"/>
        </w:rPr>
      </w:pPr>
      <w:r>
        <w:rPr>
          <w:lang w:eastAsia="zh-TW"/>
        </w:rPr>
        <w:lastRenderedPageBreak/>
        <w:t>We would therefore suggest that system level simulations are performed by RAN1, but the RF characterization is under full control and dependency on information from RAN4.</w:t>
      </w:r>
    </w:p>
    <w:p w14:paraId="06E5673B" w14:textId="688432A6" w:rsidR="00EE49D1" w:rsidRDefault="005A411E" w:rsidP="00A52A55">
      <w:pPr>
        <w:pStyle w:val="ListParagraph"/>
        <w:numPr>
          <w:ilvl w:val="0"/>
          <w:numId w:val="23"/>
        </w:numPr>
        <w:spacing w:after="0"/>
        <w:rPr>
          <w:b/>
          <w:bCs/>
          <w:i/>
          <w:iCs/>
          <w:lang w:eastAsia="ko-KR"/>
        </w:rPr>
      </w:pPr>
      <w:bookmarkStart w:id="2" w:name="_Hlk101879726"/>
      <w:r w:rsidRPr="00510004">
        <w:rPr>
          <w:b/>
          <w:bCs/>
          <w:i/>
          <w:iCs/>
          <w:lang w:eastAsia="zh-TW"/>
        </w:rPr>
        <w:t>RAN1 to work on the assumption that SLS</w:t>
      </w:r>
      <w:r>
        <w:rPr>
          <w:b/>
          <w:bCs/>
          <w:i/>
          <w:iCs/>
          <w:lang w:eastAsia="zh-TW"/>
        </w:rPr>
        <w:t xml:space="preserve"> (and </w:t>
      </w:r>
      <w:r w:rsidR="003D6431">
        <w:rPr>
          <w:b/>
          <w:bCs/>
          <w:i/>
          <w:iCs/>
          <w:lang w:eastAsia="zh-TW"/>
        </w:rPr>
        <w:t xml:space="preserve">any </w:t>
      </w:r>
      <w:r>
        <w:rPr>
          <w:b/>
          <w:bCs/>
          <w:i/>
          <w:iCs/>
          <w:lang w:eastAsia="zh-TW"/>
        </w:rPr>
        <w:t>other necessary evaluation</w:t>
      </w:r>
      <w:r w:rsidR="006961FD">
        <w:rPr>
          <w:b/>
          <w:bCs/>
          <w:i/>
          <w:iCs/>
          <w:lang w:eastAsia="zh-TW"/>
        </w:rPr>
        <w:t>s</w:t>
      </w:r>
      <w:r>
        <w:rPr>
          <w:b/>
          <w:bCs/>
          <w:i/>
          <w:iCs/>
          <w:lang w:eastAsia="zh-TW"/>
        </w:rPr>
        <w:t xml:space="preserve">) </w:t>
      </w:r>
      <w:r w:rsidRPr="00510004">
        <w:rPr>
          <w:b/>
          <w:bCs/>
          <w:i/>
          <w:iCs/>
          <w:lang w:eastAsia="zh-TW"/>
        </w:rPr>
        <w:t xml:space="preserve">will be performed by RAN1 for </w:t>
      </w:r>
      <w:r w:rsidRPr="005A411E">
        <w:rPr>
          <w:b/>
          <w:bCs/>
          <w:i/>
          <w:iCs/>
          <w:lang w:eastAsia="zh-TW"/>
        </w:rPr>
        <w:t>co-channel and adjacent channels</w:t>
      </w:r>
      <w:r w:rsidR="00EE49D1">
        <w:rPr>
          <w:b/>
          <w:bCs/>
          <w:i/>
          <w:iCs/>
          <w:lang w:eastAsia="zh-TW"/>
        </w:rPr>
        <w:t xml:space="preserve"> </w:t>
      </w:r>
      <w:r w:rsidR="00EE49D1" w:rsidRPr="00EE49D1">
        <w:rPr>
          <w:b/>
          <w:bCs/>
          <w:i/>
          <w:iCs/>
          <w:lang w:eastAsia="zh-TW"/>
        </w:rPr>
        <w:t>co-existence</w:t>
      </w:r>
      <w:r w:rsidR="00EE49D1">
        <w:rPr>
          <w:b/>
          <w:bCs/>
          <w:i/>
          <w:iCs/>
          <w:lang w:eastAsia="zh-TW"/>
        </w:rPr>
        <w:t xml:space="preserve"> cases.</w:t>
      </w:r>
      <w:r w:rsidRPr="00510004">
        <w:rPr>
          <w:b/>
          <w:bCs/>
          <w:i/>
          <w:iCs/>
          <w:lang w:eastAsia="zh-TW"/>
        </w:rPr>
        <w:t xml:space="preserve"> </w:t>
      </w:r>
    </w:p>
    <w:p w14:paraId="11A208DC" w14:textId="09E7747B" w:rsidR="005A411E" w:rsidRPr="00510004" w:rsidRDefault="005A411E" w:rsidP="00EE49D1">
      <w:pPr>
        <w:pStyle w:val="ListParagraph"/>
        <w:numPr>
          <w:ilvl w:val="1"/>
          <w:numId w:val="23"/>
        </w:numPr>
        <w:spacing w:after="120"/>
        <w:rPr>
          <w:b/>
          <w:bCs/>
          <w:i/>
          <w:iCs/>
          <w:lang w:eastAsia="ko-KR"/>
        </w:rPr>
      </w:pPr>
      <w:r w:rsidRPr="00510004">
        <w:rPr>
          <w:b/>
          <w:bCs/>
          <w:i/>
          <w:iCs/>
          <w:lang w:eastAsia="zh-TW"/>
        </w:rPr>
        <w:t xml:space="preserve">Confirm the way of working between RAN1 and RAN4 with a </w:t>
      </w:r>
      <w:r>
        <w:rPr>
          <w:b/>
          <w:bCs/>
          <w:i/>
          <w:iCs/>
          <w:lang w:eastAsia="zh-TW"/>
        </w:rPr>
        <w:t>S</w:t>
      </w:r>
      <w:r w:rsidRPr="00510004">
        <w:rPr>
          <w:b/>
          <w:bCs/>
          <w:i/>
          <w:iCs/>
          <w:lang w:eastAsia="zh-TW"/>
        </w:rPr>
        <w:t>ID revision.</w:t>
      </w:r>
      <w:r w:rsidRPr="007072D7">
        <w:rPr>
          <w:rFonts w:eastAsia="SimSun"/>
          <w:b/>
          <w:bCs/>
          <w:i/>
          <w:iCs/>
          <w:lang w:val="en-US" w:eastAsia="zh-CN"/>
        </w:rPr>
        <w:t xml:space="preserve"> </w:t>
      </w:r>
      <w:bookmarkEnd w:id="2"/>
    </w:p>
    <w:p w14:paraId="23D614FE" w14:textId="77777777" w:rsidR="00B629DA" w:rsidRDefault="00B629DA" w:rsidP="00B629DA">
      <w:pPr>
        <w:pStyle w:val="Heading1"/>
        <w:rPr>
          <w:lang w:val="en-US"/>
        </w:rPr>
      </w:pPr>
      <w:r w:rsidRPr="00B629DA">
        <w:rPr>
          <w:lang w:val="en-US"/>
        </w:rPr>
        <w:t>Conclusion</w:t>
      </w:r>
    </w:p>
    <w:p w14:paraId="66F016E2" w14:textId="0FB336C3"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the</w:t>
      </w:r>
      <w:r w:rsidR="006961FD">
        <w:rPr>
          <w:bCs/>
        </w:rPr>
        <w:t xml:space="preserve"> </w:t>
      </w:r>
      <w:r w:rsidR="006961FD">
        <w:rPr>
          <w:rFonts w:eastAsia="SimSun"/>
          <w:color w:val="000000" w:themeColor="text1"/>
          <w:lang w:val="en-US" w:eastAsia="zh-CN"/>
        </w:rPr>
        <w:t xml:space="preserve">work split between RAN1 and RAN4 for this for the </w:t>
      </w:r>
      <w:r w:rsidR="006961FD">
        <w:rPr>
          <w:rFonts w:eastAsia="SimSun"/>
          <w:lang w:val="en-US" w:eastAsia="zh-CN"/>
        </w:rPr>
        <w:t>s</w:t>
      </w:r>
      <w:r w:rsidR="006961FD" w:rsidRPr="00DD5E49">
        <w:rPr>
          <w:rFonts w:eastAsia="SimSun"/>
          <w:lang w:val="en-US" w:eastAsia="zh-CN"/>
        </w:rPr>
        <w:t>tudy</w:t>
      </w:r>
      <w:r w:rsidR="006961FD">
        <w:rPr>
          <w:rFonts w:eastAsia="SimSun"/>
          <w:lang w:val="en-US" w:eastAsia="zh-CN"/>
        </w:rPr>
        <w:t xml:space="preserve"> item </w:t>
      </w:r>
      <w:r w:rsidR="006961FD" w:rsidRPr="00DD5E49">
        <w:rPr>
          <w:rFonts w:eastAsia="SimSun"/>
          <w:lang w:val="en-US" w:eastAsia="zh-CN"/>
        </w:rPr>
        <w:t>on evolution of NR duplex operation</w:t>
      </w:r>
      <w:r w:rsidR="001F66D6">
        <w:rPr>
          <w:bCs/>
        </w:rPr>
        <w:t>,</w:t>
      </w:r>
      <w:r w:rsidR="007E4E0A">
        <w:rPr>
          <w:lang w:val="en-US"/>
        </w:rPr>
        <w:t xml:space="preserve"> and we have the following proposal</w:t>
      </w:r>
      <w:r>
        <w:rPr>
          <w:lang w:val="en-US"/>
        </w:rPr>
        <w:t>.</w:t>
      </w:r>
    </w:p>
    <w:p w14:paraId="09ACFC3C" w14:textId="670D82C5" w:rsidR="00A52A55" w:rsidRPr="00A52A55" w:rsidRDefault="0024459C" w:rsidP="00A52A55">
      <w:pPr>
        <w:pStyle w:val="ListParagraph"/>
        <w:numPr>
          <w:ilvl w:val="0"/>
          <w:numId w:val="19"/>
        </w:numPr>
        <w:spacing w:after="0"/>
        <w:jc w:val="both"/>
        <w:rPr>
          <w:rFonts w:eastAsia="SimSun"/>
          <w:b/>
          <w:i/>
          <w:lang w:eastAsia="zh-CN"/>
        </w:rPr>
      </w:pPr>
      <w:r>
        <w:rPr>
          <w:rFonts w:eastAsia="SimSun"/>
          <w:b/>
          <w:i/>
          <w:lang w:eastAsia="zh-CN"/>
        </w:rPr>
        <w:t xml:space="preserve">RAN </w:t>
      </w:r>
      <w:r w:rsidR="00A52A55" w:rsidRPr="00A52A55">
        <w:rPr>
          <w:rFonts w:eastAsia="SimSun"/>
          <w:b/>
          <w:i/>
          <w:lang w:eastAsia="zh-CN"/>
        </w:rPr>
        <w:t xml:space="preserve">RAN1 to work on the assumption that SLS (and </w:t>
      </w:r>
      <w:r w:rsidR="003D6431">
        <w:rPr>
          <w:rFonts w:eastAsia="SimSun"/>
          <w:b/>
          <w:i/>
          <w:lang w:eastAsia="zh-CN"/>
        </w:rPr>
        <w:t xml:space="preserve">any </w:t>
      </w:r>
      <w:r w:rsidR="00A52A55" w:rsidRPr="00A52A55">
        <w:rPr>
          <w:rFonts w:eastAsia="SimSun"/>
          <w:b/>
          <w:i/>
          <w:lang w:eastAsia="zh-CN"/>
        </w:rPr>
        <w:t xml:space="preserve">other necessary evaluations) will be performed by RAN1 for co-channel and adjacent channels co-existence cases. </w:t>
      </w:r>
    </w:p>
    <w:p w14:paraId="2A639AD8" w14:textId="7BD84EF9" w:rsidR="0024459C" w:rsidRPr="00FC1E45" w:rsidRDefault="00A52A55" w:rsidP="00A52A55">
      <w:pPr>
        <w:pStyle w:val="ListParagraph"/>
        <w:numPr>
          <w:ilvl w:val="1"/>
          <w:numId w:val="19"/>
        </w:numPr>
        <w:spacing w:after="0"/>
        <w:jc w:val="both"/>
        <w:rPr>
          <w:rFonts w:eastAsia="SimSun"/>
          <w:b/>
          <w:i/>
          <w:lang w:eastAsia="zh-CN"/>
        </w:rPr>
      </w:pPr>
      <w:r w:rsidRPr="00A52A55">
        <w:rPr>
          <w:rFonts w:eastAsia="SimSun"/>
          <w:b/>
          <w:i/>
          <w:lang w:eastAsia="zh-CN"/>
        </w:rPr>
        <w:t>Confirm the way of working between RAN1 and RAN4 with a SID revision</w:t>
      </w:r>
      <w:r w:rsidR="0024459C">
        <w:rPr>
          <w:rFonts w:eastAsia="SimSun"/>
          <w:b/>
          <w:i/>
          <w:lang w:eastAsia="zh-CN"/>
        </w:rPr>
        <w:t>.</w:t>
      </w:r>
    </w:p>
    <w:p w14:paraId="5C62AB4F" w14:textId="77777777" w:rsidR="002D44AF" w:rsidRPr="00B300C3" w:rsidRDefault="002D44AF" w:rsidP="002D44AF">
      <w:pPr>
        <w:pStyle w:val="Heading1"/>
        <w:rPr>
          <w:lang w:val="en-US"/>
        </w:rPr>
      </w:pPr>
      <w:r>
        <w:rPr>
          <w:rFonts w:hint="eastAsia"/>
          <w:lang w:val="en-US" w:eastAsia="zh-TW"/>
        </w:rPr>
        <w:t>References</w:t>
      </w:r>
    </w:p>
    <w:p w14:paraId="7A0F7249" w14:textId="41569947" w:rsidR="00765355" w:rsidRDefault="007C26CF" w:rsidP="00765355">
      <w:pPr>
        <w:numPr>
          <w:ilvl w:val="0"/>
          <w:numId w:val="2"/>
        </w:numPr>
        <w:spacing w:after="0"/>
        <w:jc w:val="both"/>
        <w:rPr>
          <w:lang w:val="en-US" w:eastAsia="zh-TW"/>
        </w:rPr>
      </w:pPr>
      <w:bookmarkStart w:id="3" w:name="_Ref57639034"/>
      <w:r w:rsidRPr="007C26CF">
        <w:rPr>
          <w:lang w:val="en-US" w:eastAsia="zh-TW"/>
        </w:rPr>
        <w:t>RP-213591</w:t>
      </w:r>
      <w:r w:rsidR="00BB091B">
        <w:rPr>
          <w:lang w:val="en-US" w:eastAsia="zh-TW"/>
        </w:rPr>
        <w:t>,</w:t>
      </w:r>
      <w:r w:rsidR="00310A2E" w:rsidRPr="00310A2E">
        <w:rPr>
          <w:lang w:val="en-US" w:eastAsia="zh-TW"/>
        </w:rPr>
        <w:t xml:space="preserve"> </w:t>
      </w:r>
      <w:r w:rsidR="00E627B3" w:rsidRPr="00310A2E">
        <w:rPr>
          <w:lang w:val="en-US" w:eastAsia="zh-TW"/>
        </w:rPr>
        <w:t>“</w:t>
      </w:r>
      <w:r w:rsidRPr="007C26CF">
        <w:rPr>
          <w:lang w:val="en-US" w:eastAsia="zh-TW"/>
        </w:rPr>
        <w:t>New SI: Study on evolution of NR duplex operation</w:t>
      </w:r>
      <w:r w:rsidR="00310A2E" w:rsidRPr="00310A2E">
        <w:rPr>
          <w:lang w:val="en-US" w:eastAsia="zh-TW"/>
        </w:rPr>
        <w:t xml:space="preserve">,” </w:t>
      </w:r>
      <w:r w:rsidR="0091222A">
        <w:rPr>
          <w:lang w:val="en-US" w:eastAsia="zh-TW"/>
        </w:rPr>
        <w:t>CMCC</w:t>
      </w:r>
      <w:r w:rsidR="008474CA">
        <w:rPr>
          <w:lang w:val="en-US" w:eastAsia="zh-TW"/>
        </w:rPr>
        <w:t>, RAN</w:t>
      </w:r>
      <w:r w:rsidR="008474CA" w:rsidRPr="008474CA">
        <w:rPr>
          <w:lang w:val="en-US" w:eastAsia="zh-TW"/>
        </w:rPr>
        <w:t>#9</w:t>
      </w:r>
      <w:r>
        <w:rPr>
          <w:lang w:val="en-US" w:eastAsia="zh-TW"/>
        </w:rPr>
        <w:t>4</w:t>
      </w:r>
      <w:r w:rsidR="008474CA" w:rsidRPr="008474CA">
        <w:rPr>
          <w:lang w:val="en-US" w:eastAsia="zh-TW"/>
        </w:rPr>
        <w:t>e</w:t>
      </w:r>
      <w:r w:rsidR="00E25DB7" w:rsidRPr="00310A2E">
        <w:rPr>
          <w:lang w:val="en-US" w:eastAsia="zh-TW"/>
        </w:rPr>
        <w:t xml:space="preserve">, </w:t>
      </w:r>
      <w:r w:rsidR="0091222A">
        <w:rPr>
          <w:lang w:val="en-US" w:eastAsia="zh-TW"/>
        </w:rPr>
        <w:t xml:space="preserve">December </w:t>
      </w:r>
      <w:r w:rsidR="00E218CC" w:rsidRPr="00310A2E">
        <w:rPr>
          <w:lang w:val="en-US" w:eastAsia="zh-TW"/>
        </w:rPr>
        <w:t>202</w:t>
      </w:r>
      <w:bookmarkEnd w:id="3"/>
      <w:r w:rsidR="00765355">
        <w:rPr>
          <w:lang w:val="en-US" w:eastAsia="zh-TW"/>
        </w:rPr>
        <w:t>1.</w:t>
      </w:r>
    </w:p>
    <w:p w14:paraId="710CEAB4" w14:textId="2D0E24B5" w:rsidR="0091222A" w:rsidRDefault="0091222A" w:rsidP="00765355">
      <w:pPr>
        <w:numPr>
          <w:ilvl w:val="0"/>
          <w:numId w:val="2"/>
        </w:numPr>
        <w:spacing w:after="0"/>
        <w:jc w:val="both"/>
        <w:rPr>
          <w:lang w:val="en-US" w:eastAsia="zh-TW"/>
        </w:rPr>
      </w:pPr>
      <w:r w:rsidRPr="0091222A">
        <w:rPr>
          <w:lang w:val="en-US" w:eastAsia="zh-TW"/>
        </w:rPr>
        <w:t>R1-2205541</w:t>
      </w:r>
      <w:r>
        <w:rPr>
          <w:lang w:val="en-US" w:eastAsia="zh-TW"/>
        </w:rPr>
        <w:t>, “</w:t>
      </w:r>
      <w:r w:rsidRPr="0091222A">
        <w:rPr>
          <w:lang w:val="en-US" w:eastAsia="zh-TW"/>
        </w:rPr>
        <w:t>Summary#5 of email discussion on evaluation of NR duplex evolution</w:t>
      </w:r>
      <w:r>
        <w:rPr>
          <w:lang w:val="en-US" w:eastAsia="zh-TW"/>
        </w:rPr>
        <w:t xml:space="preserve">,” </w:t>
      </w:r>
      <w:r>
        <w:rPr>
          <w:rFonts w:eastAsia="DengXian"/>
        </w:rPr>
        <w:t>Moderator (CMCC), RAN1#109e, May 2022.</w:t>
      </w:r>
    </w:p>
    <w:sectPr w:rsidR="0091222A" w:rsidSect="00252E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89AF" w14:textId="77777777" w:rsidR="00432199" w:rsidRDefault="00432199">
      <w:r>
        <w:separator/>
      </w:r>
    </w:p>
  </w:endnote>
  <w:endnote w:type="continuationSeparator" w:id="0">
    <w:p w14:paraId="49C1D0F7" w14:textId="77777777" w:rsidR="00432199" w:rsidRDefault="0043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62A1" w14:textId="77777777" w:rsidR="006C5E58" w:rsidRDefault="006C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98F0" w14:textId="77777777" w:rsidR="006C5E58" w:rsidRDefault="006C5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48E3" w14:textId="77777777" w:rsidR="006C5E58" w:rsidRDefault="006C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FBB4" w14:textId="77777777" w:rsidR="00432199" w:rsidRDefault="00432199">
      <w:r>
        <w:separator/>
      </w:r>
    </w:p>
  </w:footnote>
  <w:footnote w:type="continuationSeparator" w:id="0">
    <w:p w14:paraId="3A4D8657" w14:textId="77777777" w:rsidR="00432199" w:rsidRDefault="00432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9386" w14:textId="77777777" w:rsidR="006C5E58" w:rsidRDefault="006C5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6902" w14:textId="77777777" w:rsidR="006C5E58" w:rsidRDefault="006C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B16" w14:textId="77777777" w:rsidR="006C5E58" w:rsidRDefault="006C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D14AF"/>
    <w:multiLevelType w:val="hybridMultilevel"/>
    <w:tmpl w:val="C896B338"/>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E67A33"/>
    <w:multiLevelType w:val="hybridMultilevel"/>
    <w:tmpl w:val="7BDACC0E"/>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2F3307E"/>
    <w:multiLevelType w:val="hybridMultilevel"/>
    <w:tmpl w:val="C31CC3B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4"/>
  </w:num>
  <w:num w:numId="4">
    <w:abstractNumId w:val="3"/>
  </w:num>
  <w:num w:numId="5">
    <w:abstractNumId w:val="17"/>
  </w:num>
  <w:num w:numId="6">
    <w:abstractNumId w:val="18"/>
  </w:num>
  <w:num w:numId="7">
    <w:abstractNumId w:val="1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6"/>
  </w:num>
  <w:num w:numId="12">
    <w:abstractNumId w:val="15"/>
  </w:num>
  <w:num w:numId="13">
    <w:abstractNumId w:val="19"/>
  </w:num>
  <w:num w:numId="14">
    <w:abstractNumId w:val="13"/>
  </w:num>
  <w:num w:numId="15">
    <w:abstractNumId w:val="10"/>
  </w:num>
  <w:num w:numId="16">
    <w:abstractNumId w:val="8"/>
  </w:num>
  <w:num w:numId="17">
    <w:abstractNumId w:val="9"/>
  </w:num>
  <w:num w:numId="18">
    <w:abstractNumId w:val="2"/>
  </w:num>
  <w:num w:numId="19">
    <w:abstractNumId w:val="0"/>
  </w:num>
  <w:num w:numId="20">
    <w:abstractNumId w:val="6"/>
  </w:num>
  <w:num w:numId="21">
    <w:abstractNumId w:val="20"/>
  </w:num>
  <w:num w:numId="22">
    <w:abstractNumId w:val="11"/>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9D6"/>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4F61"/>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5F5D"/>
    <w:rsid w:val="0008693B"/>
    <w:rsid w:val="00087287"/>
    <w:rsid w:val="0008738E"/>
    <w:rsid w:val="000906C9"/>
    <w:rsid w:val="00093E7E"/>
    <w:rsid w:val="00093FE0"/>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B7909"/>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D74"/>
    <w:rsid w:val="000F3EA8"/>
    <w:rsid w:val="000F4BFC"/>
    <w:rsid w:val="000F4F83"/>
    <w:rsid w:val="000F71CD"/>
    <w:rsid w:val="000F7730"/>
    <w:rsid w:val="000F7EFE"/>
    <w:rsid w:val="00100B01"/>
    <w:rsid w:val="001010BC"/>
    <w:rsid w:val="001012D3"/>
    <w:rsid w:val="00101381"/>
    <w:rsid w:val="00101C1E"/>
    <w:rsid w:val="001033DD"/>
    <w:rsid w:val="0010578F"/>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5050"/>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2A8"/>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164D"/>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9FF"/>
    <w:rsid w:val="00214FBD"/>
    <w:rsid w:val="00216D2C"/>
    <w:rsid w:val="00217582"/>
    <w:rsid w:val="002223A7"/>
    <w:rsid w:val="00222897"/>
    <w:rsid w:val="002245F2"/>
    <w:rsid w:val="00225381"/>
    <w:rsid w:val="00230D3B"/>
    <w:rsid w:val="00234A5B"/>
    <w:rsid w:val="00235394"/>
    <w:rsid w:val="00235A9B"/>
    <w:rsid w:val="00237173"/>
    <w:rsid w:val="00240E25"/>
    <w:rsid w:val="00241D4B"/>
    <w:rsid w:val="00243F00"/>
    <w:rsid w:val="0024459C"/>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FC7"/>
    <w:rsid w:val="00274E1A"/>
    <w:rsid w:val="00275B50"/>
    <w:rsid w:val="00275BD6"/>
    <w:rsid w:val="00275E1D"/>
    <w:rsid w:val="00276F76"/>
    <w:rsid w:val="002770F4"/>
    <w:rsid w:val="00281609"/>
    <w:rsid w:val="00281905"/>
    <w:rsid w:val="00282213"/>
    <w:rsid w:val="002837AB"/>
    <w:rsid w:val="00284AC0"/>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4CDD"/>
    <w:rsid w:val="002A52AF"/>
    <w:rsid w:val="002A56B9"/>
    <w:rsid w:val="002A5D49"/>
    <w:rsid w:val="002A63E4"/>
    <w:rsid w:val="002A6FE9"/>
    <w:rsid w:val="002A7375"/>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BC9"/>
    <w:rsid w:val="002E7DE5"/>
    <w:rsid w:val="002F01C0"/>
    <w:rsid w:val="002F030F"/>
    <w:rsid w:val="002F0D74"/>
    <w:rsid w:val="002F2B29"/>
    <w:rsid w:val="002F300C"/>
    <w:rsid w:val="002F3BD7"/>
    <w:rsid w:val="002F4093"/>
    <w:rsid w:val="002F40CC"/>
    <w:rsid w:val="002F428E"/>
    <w:rsid w:val="002F4689"/>
    <w:rsid w:val="002F5ED1"/>
    <w:rsid w:val="002F63F6"/>
    <w:rsid w:val="002F722F"/>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54A1"/>
    <w:rsid w:val="00366EFD"/>
    <w:rsid w:val="00367724"/>
    <w:rsid w:val="00367D08"/>
    <w:rsid w:val="0037037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31"/>
    <w:rsid w:val="003D64DB"/>
    <w:rsid w:val="003D716A"/>
    <w:rsid w:val="003E040F"/>
    <w:rsid w:val="003E05F6"/>
    <w:rsid w:val="003E39EA"/>
    <w:rsid w:val="003E3BA1"/>
    <w:rsid w:val="003E461D"/>
    <w:rsid w:val="003E4FFB"/>
    <w:rsid w:val="003E5EAB"/>
    <w:rsid w:val="003E5F52"/>
    <w:rsid w:val="003E6CB7"/>
    <w:rsid w:val="003E79CA"/>
    <w:rsid w:val="003F024E"/>
    <w:rsid w:val="003F04F5"/>
    <w:rsid w:val="003F0613"/>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2199"/>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25D0"/>
    <w:rsid w:val="0047478B"/>
    <w:rsid w:val="00474A93"/>
    <w:rsid w:val="0047578E"/>
    <w:rsid w:val="00476FC9"/>
    <w:rsid w:val="0048179B"/>
    <w:rsid w:val="00481B8C"/>
    <w:rsid w:val="004820F2"/>
    <w:rsid w:val="004825DC"/>
    <w:rsid w:val="00482CB5"/>
    <w:rsid w:val="00484428"/>
    <w:rsid w:val="00485876"/>
    <w:rsid w:val="00485DDC"/>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0E4"/>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86F"/>
    <w:rsid w:val="00551B47"/>
    <w:rsid w:val="00552EA4"/>
    <w:rsid w:val="005530F6"/>
    <w:rsid w:val="005534EE"/>
    <w:rsid w:val="00554F6D"/>
    <w:rsid w:val="00556367"/>
    <w:rsid w:val="00556A55"/>
    <w:rsid w:val="00561025"/>
    <w:rsid w:val="00561966"/>
    <w:rsid w:val="00563111"/>
    <w:rsid w:val="00564539"/>
    <w:rsid w:val="00565B9E"/>
    <w:rsid w:val="005724AC"/>
    <w:rsid w:val="00573445"/>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2D07"/>
    <w:rsid w:val="005A411E"/>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587A"/>
    <w:rsid w:val="005C6F72"/>
    <w:rsid w:val="005C74BE"/>
    <w:rsid w:val="005C7CB5"/>
    <w:rsid w:val="005D2673"/>
    <w:rsid w:val="005D3059"/>
    <w:rsid w:val="005D3F85"/>
    <w:rsid w:val="005D45F8"/>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5AA"/>
    <w:rsid w:val="0060469B"/>
    <w:rsid w:val="00604B2B"/>
    <w:rsid w:val="0060523F"/>
    <w:rsid w:val="00605FAE"/>
    <w:rsid w:val="00607B3F"/>
    <w:rsid w:val="00607FC1"/>
    <w:rsid w:val="0061035E"/>
    <w:rsid w:val="00610721"/>
    <w:rsid w:val="006116E4"/>
    <w:rsid w:val="0061230B"/>
    <w:rsid w:val="00612F11"/>
    <w:rsid w:val="00616A7F"/>
    <w:rsid w:val="00617472"/>
    <w:rsid w:val="00617873"/>
    <w:rsid w:val="00620F88"/>
    <w:rsid w:val="00621321"/>
    <w:rsid w:val="00621899"/>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67DA7"/>
    <w:rsid w:val="00670166"/>
    <w:rsid w:val="00671093"/>
    <w:rsid w:val="006718F4"/>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961FD"/>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6A77"/>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1704"/>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2BFA"/>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67EA"/>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26CF"/>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ED6"/>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16ACB"/>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2C97"/>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150A"/>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333"/>
    <w:rsid w:val="008E45FE"/>
    <w:rsid w:val="008E4730"/>
    <w:rsid w:val="008E5342"/>
    <w:rsid w:val="008E6B58"/>
    <w:rsid w:val="008E6CD8"/>
    <w:rsid w:val="008E6DBE"/>
    <w:rsid w:val="008F05B3"/>
    <w:rsid w:val="008F12A7"/>
    <w:rsid w:val="008F15B0"/>
    <w:rsid w:val="008F2549"/>
    <w:rsid w:val="008F2A8C"/>
    <w:rsid w:val="008F2EE7"/>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22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0501"/>
    <w:rsid w:val="009416B6"/>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2ACE"/>
    <w:rsid w:val="00983910"/>
    <w:rsid w:val="00983FBB"/>
    <w:rsid w:val="009849B6"/>
    <w:rsid w:val="009853B6"/>
    <w:rsid w:val="009854C4"/>
    <w:rsid w:val="00987375"/>
    <w:rsid w:val="009873A2"/>
    <w:rsid w:val="00987779"/>
    <w:rsid w:val="00990C46"/>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2A55"/>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4D1A"/>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34D"/>
    <w:rsid w:val="00AA0AB4"/>
    <w:rsid w:val="00AA127E"/>
    <w:rsid w:val="00AA2DB7"/>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0E0E"/>
    <w:rsid w:val="00AE2ADB"/>
    <w:rsid w:val="00AE2BC3"/>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0B0"/>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5242"/>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54B"/>
    <w:rsid w:val="00B80374"/>
    <w:rsid w:val="00B809A2"/>
    <w:rsid w:val="00B80F90"/>
    <w:rsid w:val="00B8139B"/>
    <w:rsid w:val="00B819E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611"/>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1DA"/>
    <w:rsid w:val="00C27716"/>
    <w:rsid w:val="00C30821"/>
    <w:rsid w:val="00C31006"/>
    <w:rsid w:val="00C31471"/>
    <w:rsid w:val="00C31E88"/>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4BF8"/>
    <w:rsid w:val="00C458C4"/>
    <w:rsid w:val="00C473B8"/>
    <w:rsid w:val="00C47FB1"/>
    <w:rsid w:val="00C50074"/>
    <w:rsid w:val="00C51A50"/>
    <w:rsid w:val="00C52BDA"/>
    <w:rsid w:val="00C54B27"/>
    <w:rsid w:val="00C559F4"/>
    <w:rsid w:val="00C55A94"/>
    <w:rsid w:val="00C625EF"/>
    <w:rsid w:val="00C628DF"/>
    <w:rsid w:val="00C62BE9"/>
    <w:rsid w:val="00C64742"/>
    <w:rsid w:val="00C66897"/>
    <w:rsid w:val="00C6751C"/>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5FF6"/>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6D5B"/>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21F9"/>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5C9E"/>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3FEA"/>
    <w:rsid w:val="00DA51CB"/>
    <w:rsid w:val="00DA6B4A"/>
    <w:rsid w:val="00DA7D98"/>
    <w:rsid w:val="00DB0F0F"/>
    <w:rsid w:val="00DB24A2"/>
    <w:rsid w:val="00DB44E1"/>
    <w:rsid w:val="00DB5941"/>
    <w:rsid w:val="00DB5CE2"/>
    <w:rsid w:val="00DB662D"/>
    <w:rsid w:val="00DB7455"/>
    <w:rsid w:val="00DC1A15"/>
    <w:rsid w:val="00DC1D7B"/>
    <w:rsid w:val="00DC216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95C"/>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368"/>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3F09"/>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5EB3"/>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6CA"/>
    <w:rsid w:val="00EA1E1D"/>
    <w:rsid w:val="00EA2004"/>
    <w:rsid w:val="00EA3004"/>
    <w:rsid w:val="00EA3C24"/>
    <w:rsid w:val="00EA4465"/>
    <w:rsid w:val="00EA497A"/>
    <w:rsid w:val="00EA5997"/>
    <w:rsid w:val="00EA5E4B"/>
    <w:rsid w:val="00EA707C"/>
    <w:rsid w:val="00EA794A"/>
    <w:rsid w:val="00EB04FF"/>
    <w:rsid w:val="00EB0BD0"/>
    <w:rsid w:val="00EB1214"/>
    <w:rsid w:val="00EB1BE7"/>
    <w:rsid w:val="00EB1CC1"/>
    <w:rsid w:val="00EB1F08"/>
    <w:rsid w:val="00EB5B01"/>
    <w:rsid w:val="00EC14A9"/>
    <w:rsid w:val="00EC1CD6"/>
    <w:rsid w:val="00EC256A"/>
    <w:rsid w:val="00EC29BD"/>
    <w:rsid w:val="00EC2E2F"/>
    <w:rsid w:val="00EC565F"/>
    <w:rsid w:val="00EC5EB7"/>
    <w:rsid w:val="00EC6CF4"/>
    <w:rsid w:val="00ED05BE"/>
    <w:rsid w:val="00ED066D"/>
    <w:rsid w:val="00ED2F76"/>
    <w:rsid w:val="00ED42D8"/>
    <w:rsid w:val="00ED547A"/>
    <w:rsid w:val="00ED5501"/>
    <w:rsid w:val="00EE0083"/>
    <w:rsid w:val="00EE0724"/>
    <w:rsid w:val="00EE084A"/>
    <w:rsid w:val="00EE0AE2"/>
    <w:rsid w:val="00EE15C1"/>
    <w:rsid w:val="00EE1FC6"/>
    <w:rsid w:val="00EE2BDD"/>
    <w:rsid w:val="00EE3E05"/>
    <w:rsid w:val="00EE428A"/>
    <w:rsid w:val="00EE49D1"/>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11F"/>
    <w:rsid w:val="00F05D0B"/>
    <w:rsid w:val="00F05F19"/>
    <w:rsid w:val="00F06C88"/>
    <w:rsid w:val="00F072D8"/>
    <w:rsid w:val="00F10DF7"/>
    <w:rsid w:val="00F11FEF"/>
    <w:rsid w:val="00F12191"/>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4690"/>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1774"/>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DA7"/>
    <w:rsid w:val="00F80E68"/>
    <w:rsid w:val="00F813D1"/>
    <w:rsid w:val="00F81DBA"/>
    <w:rsid w:val="00F820F4"/>
    <w:rsid w:val="00F8381E"/>
    <w:rsid w:val="00F838F2"/>
    <w:rsid w:val="00F84364"/>
    <w:rsid w:val="00F84BEB"/>
    <w:rsid w:val="00F85C9E"/>
    <w:rsid w:val="00F86690"/>
    <w:rsid w:val="00F86F32"/>
    <w:rsid w:val="00F87C10"/>
    <w:rsid w:val="00F902C3"/>
    <w:rsid w:val="00F90D35"/>
    <w:rsid w:val="00F9137A"/>
    <w:rsid w:val="00F91EE9"/>
    <w:rsid w:val="00F9264C"/>
    <w:rsid w:val="00F92E89"/>
    <w:rsid w:val="00F94466"/>
    <w:rsid w:val="00F95BC3"/>
    <w:rsid w:val="00F9716C"/>
    <w:rsid w:val="00F9767B"/>
    <w:rsid w:val="00F9790A"/>
    <w:rsid w:val="00FA01AB"/>
    <w:rsid w:val="00FA13D8"/>
    <w:rsid w:val="00FA149C"/>
    <w:rsid w:val="00FA1759"/>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91F"/>
    <w:rsid w:val="00FE6B2D"/>
    <w:rsid w:val="00FE709C"/>
    <w:rsid w:val="00FE76DD"/>
    <w:rsid w:val="00FE7ADC"/>
    <w:rsid w:val="00FF0C15"/>
    <w:rsid w:val="00FF0FB3"/>
    <w:rsid w:val="00FF380C"/>
    <w:rsid w:val="00FF4498"/>
    <w:rsid w:val="00FF4FA4"/>
    <w:rsid w:val="00FF510C"/>
    <w:rsid w:val="00FF5754"/>
    <w:rsid w:val="00FF5AA3"/>
    <w:rsid w:val="00FF5EFA"/>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table" w:styleId="ListTable3-Accent1">
    <w:name w:val="List Table 3 Accent 1"/>
    <w:basedOn w:val="TableNormal"/>
    <w:uiPriority w:val="48"/>
    <w:rsid w:val="00604B2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1Char1">
    <w:name w:val="B1 Char1"/>
    <w:qFormat/>
    <w:locked/>
    <w:rsid w:val="00FF5E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264909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RP-221561</dc:title>
  <dc:subject/>
  <dc:creator/>
  <cp:keywords/>
  <cp:lastModifiedBy/>
  <cp:revision>1</cp:revision>
  <dcterms:created xsi:type="dcterms:W3CDTF">2021-03-14T11:16:00Z</dcterms:created>
  <dcterms:modified xsi:type="dcterms:W3CDTF">2022-05-30T09:02:00Z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